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5C15E1">
        <w:rPr>
          <w:rFonts w:eastAsia="Times New Roman"/>
          <w:b/>
          <w:bCs/>
          <w:sz w:val="28"/>
          <w:szCs w:val="28"/>
        </w:rPr>
        <w:t>МИНИ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C6362F">
        <w:rPr>
          <w:rFonts w:eastAsia="Times New Roman"/>
          <w:sz w:val="23"/>
          <w:szCs w:val="23"/>
        </w:rPr>
        <w:t>ОО</w:t>
      </w:r>
      <w:r w:rsidR="00136E90" w:rsidRPr="00136E90">
        <w:rPr>
          <w:rFonts w:eastAsia="Times New Roman"/>
          <w:sz w:val="23"/>
          <w:szCs w:val="23"/>
        </w:rPr>
        <w:t xml:space="preserve">О «СИМ-Сервис»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proofErr w:type="spellStart"/>
      <w:r w:rsidR="005C15E1">
        <w:rPr>
          <w:rFonts w:eastAsia="Times New Roman"/>
          <w:sz w:val="24"/>
          <w:szCs w:val="24"/>
        </w:rPr>
        <w:t>Мини</w:t>
      </w:r>
      <w:r w:rsidR="001F604F">
        <w:rPr>
          <w:rFonts w:eastAsia="Times New Roman"/>
          <w:sz w:val="24"/>
          <w:szCs w:val="24"/>
        </w:rPr>
        <w:t>Классик</w:t>
      </w:r>
      <w:proofErr w:type="spellEnd"/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proofErr w:type="spellStart"/>
      <w:r w:rsidR="005C15E1">
        <w:rPr>
          <w:rFonts w:eastAsia="Times New Roman"/>
          <w:b/>
          <w:bCs/>
          <w:sz w:val="24"/>
          <w:szCs w:val="24"/>
        </w:rPr>
        <w:t>Мини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C6362F" w:rsidRPr="00C6362F">
        <w:rPr>
          <w:rFonts w:eastAsia="Times New Roman"/>
          <w:sz w:val="24"/>
          <w:szCs w:val="24"/>
        </w:rPr>
        <w:t xml:space="preserve">общество с ограниченной ответственностью «СИМ-Сервис» (юридический адрес: 117105, г. Москва, Варшавское ш., д. 26, стр. 11, </w:t>
      </w:r>
      <w:proofErr w:type="spellStart"/>
      <w:r w:rsidR="00C6362F" w:rsidRPr="00C6362F">
        <w:rPr>
          <w:rFonts w:eastAsia="Times New Roman"/>
          <w:sz w:val="24"/>
          <w:szCs w:val="24"/>
        </w:rPr>
        <w:t>эт</w:t>
      </w:r>
      <w:proofErr w:type="spellEnd"/>
      <w:r w:rsidR="00C6362F" w:rsidRPr="00C6362F">
        <w:rPr>
          <w:rFonts w:eastAsia="Times New Roman"/>
          <w:sz w:val="24"/>
          <w:szCs w:val="24"/>
        </w:rPr>
        <w:t xml:space="preserve">. 2, </w:t>
      </w:r>
      <w:proofErr w:type="spellStart"/>
      <w:r w:rsidR="00C6362F" w:rsidRPr="00C6362F">
        <w:rPr>
          <w:rFonts w:eastAsia="Times New Roman"/>
          <w:sz w:val="24"/>
          <w:szCs w:val="24"/>
        </w:rPr>
        <w:t>пом</w:t>
      </w:r>
      <w:proofErr w:type="spellEnd"/>
      <w:r w:rsidR="00C6362F" w:rsidRPr="00C6362F">
        <w:rPr>
          <w:rFonts w:eastAsia="Times New Roman"/>
          <w:sz w:val="24"/>
          <w:szCs w:val="24"/>
        </w:rPr>
        <w:t xml:space="preserve"> I, ком. 37; ОГРН 1197746608795, ИНН 7726458509, КПП 772601001</w:t>
      </w:r>
      <w:proofErr w:type="gramStart"/>
      <w:r w:rsidR="00C6362F" w:rsidRPr="00C6362F">
        <w:rPr>
          <w:rFonts w:eastAsia="Times New Roman"/>
          <w:sz w:val="24"/>
          <w:szCs w:val="24"/>
        </w:rPr>
        <w:t>),</w:t>
      </w:r>
      <w:r w:rsidR="00136E90" w:rsidRPr="00136E90">
        <w:rPr>
          <w:rFonts w:eastAsia="Times New Roman"/>
          <w:sz w:val="24"/>
          <w:szCs w:val="24"/>
        </w:rPr>
        <w:t>,</w:t>
      </w:r>
      <w:proofErr w:type="gramEnd"/>
      <w:r w:rsidR="00136E90" w:rsidRPr="00136E9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proofErr w:type="spellStart"/>
      <w:r w:rsidR="005C15E1">
        <w:rPr>
          <w:rFonts w:eastAsia="Times New Roman"/>
          <w:sz w:val="24"/>
          <w:szCs w:val="24"/>
        </w:rPr>
        <w:t>Мини</w:t>
      </w:r>
      <w:r w:rsidR="00251BA0">
        <w:rPr>
          <w:rFonts w:eastAsia="Times New Roman"/>
          <w:sz w:val="24"/>
          <w:szCs w:val="24"/>
        </w:rPr>
        <w:t>Классик</w:t>
      </w:r>
      <w:proofErr w:type="spellEnd"/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071A08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>целиком и полностью ознакомлен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5C15E1">
        <w:rPr>
          <w:rFonts w:eastAsia="Times New Roman"/>
          <w:sz w:val="24"/>
          <w:szCs w:val="24"/>
        </w:rPr>
        <w:t>45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5C15E1">
        <w:rPr>
          <w:rFonts w:eastAsia="Times New Roman"/>
          <w:sz w:val="24"/>
          <w:szCs w:val="24"/>
        </w:rPr>
        <w:t>сорок пять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5C15E1">
        <w:rPr>
          <w:rFonts w:eastAsia="Times New Roman"/>
          <w:sz w:val="24"/>
          <w:szCs w:val="24"/>
        </w:rPr>
        <w:t>1</w:t>
      </w:r>
      <w:r w:rsidR="000A4996">
        <w:rPr>
          <w:rFonts w:eastAsia="Times New Roman"/>
          <w:sz w:val="24"/>
          <w:szCs w:val="24"/>
        </w:rPr>
        <w:t xml:space="preserve"> (</w:t>
      </w:r>
      <w:r w:rsidR="005C15E1">
        <w:rPr>
          <w:rFonts w:eastAsia="Times New Roman"/>
          <w:sz w:val="24"/>
          <w:szCs w:val="24"/>
        </w:rPr>
        <w:t>один) год</w:t>
      </w:r>
      <w:r w:rsidR="000A4996">
        <w:rPr>
          <w:rFonts w:eastAsia="Times New Roman"/>
          <w:sz w:val="24"/>
          <w:szCs w:val="24"/>
        </w:rPr>
        <w:t xml:space="preserve">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proofErr w:type="spellStart"/>
      <w:r w:rsidR="005C15E1">
        <w:rPr>
          <w:rFonts w:eastAsia="Times New Roman"/>
          <w:b/>
          <w:bCs/>
          <w:sz w:val="32"/>
          <w:szCs w:val="32"/>
        </w:rPr>
        <w:t>Мини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proofErr w:type="spellEnd"/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 xml:space="preserve">6.3.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5761F9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5761F9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6.4.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6.5. 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6.6. 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6.7. 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6.8. Участник программы привилегий имеет право на скидку в 10% при проведении кузовного ремонта в ГК СИМ.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6.9. Участник программы привилегий имеет право на получение скидки 10% при пролонгации КАСКО в отделе страхования ГК СИМ.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6.10.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6.11.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6.12. Участник программы привилегий имеет право на приоритетный прием автомобиля в кузовной ремонт в ближайшие возможные сроки.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6.13.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6.14. Участник программы привилегий получает приглашение на презентацию новых моделей, проводимых в автосалонах ГК СИМ.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lastRenderedPageBreak/>
        <w:t>6.15. Участник программы привилегий бесплатно получает СМС рассылку о выходе новых моделей профильного бренда.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6.16. Участник программы привилегий бесплатно получает СМС рассылку о проведении акций и распродаж в автоцентрах ГК СИМ.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6.17. Участник программы привилегий бесплатно получает СМС напоминание о необходимости сезонного обслуживания.</w:t>
      </w:r>
    </w:p>
    <w:p w:rsidR="005761F9" w:rsidRPr="005761F9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6.18. 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5761F9" w:rsidP="005761F9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761F9">
        <w:rPr>
          <w:rFonts w:ascii="Times" w:eastAsia="Times" w:hAnsi="Times" w:cs="Times"/>
          <w:sz w:val="24"/>
          <w:szCs w:val="24"/>
        </w:rPr>
        <w:t>6.19. Участник программы привилегий имеет право на получение бесплатного СМС уведомления о окончании сроков страховки ОСАГО и КАСКО.</w:t>
      </w:r>
      <w:bookmarkStart w:id="0" w:name="_GoBack"/>
      <w:bookmarkEnd w:id="0"/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247EEE" w:rsidRPr="00247EEE">
        <w:t xml:space="preserve"> </w:t>
      </w:r>
      <w:r w:rsidR="00431DBF" w:rsidRPr="00431DBF">
        <w:rPr>
          <w:snapToGrid w:val="0"/>
        </w:rPr>
        <w:t xml:space="preserve">+7 (495) </w:t>
      </w:r>
      <w:r w:rsidR="00111DCB">
        <w:rPr>
          <w:snapToGrid w:val="0"/>
        </w:rPr>
        <w:t>737-47-</w:t>
      </w:r>
      <w:r w:rsidR="00136E90">
        <w:rPr>
          <w:snapToGrid w:val="0"/>
        </w:rPr>
        <w:t>19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РЕКВИЗИТЫ ОПЕРАТОРА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ООО «СИМ-Сервис»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 xml:space="preserve">Юридический адрес: 117105, г. Москва, Варшавское ш., д. 26, стр. 11, </w:t>
      </w:r>
      <w:proofErr w:type="spellStart"/>
      <w:r w:rsidRPr="00C6362F">
        <w:rPr>
          <w:snapToGrid w:val="0"/>
        </w:rPr>
        <w:t>эт</w:t>
      </w:r>
      <w:proofErr w:type="spellEnd"/>
      <w:r w:rsidRPr="00C6362F">
        <w:rPr>
          <w:snapToGrid w:val="0"/>
        </w:rPr>
        <w:t>. 2, пом. I, комн.37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ОГРН 1197746608795, ИНН 7726458509, КПП 772601001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р/с 40702810100040001959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в КБ «СДМ-БАНК» (</w:t>
      </w:r>
      <w:proofErr w:type="gramStart"/>
      <w:r w:rsidRPr="00C6362F">
        <w:rPr>
          <w:snapToGrid w:val="0"/>
        </w:rPr>
        <w:t>ПАО)  г.</w:t>
      </w:r>
      <w:proofErr w:type="gramEnd"/>
      <w:r w:rsidRPr="00C6362F">
        <w:rPr>
          <w:snapToGrid w:val="0"/>
        </w:rPr>
        <w:t xml:space="preserve"> Москва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к/с   30101810845250000685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БИК   044525685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>Телефон +7 (495) 737-47-19</w:t>
      </w: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</w:p>
    <w:p w:rsidR="00C6362F" w:rsidRPr="00C6362F" w:rsidRDefault="00C6362F" w:rsidP="00C6362F">
      <w:pPr>
        <w:widowControl w:val="0"/>
        <w:ind w:left="176" w:right="-7"/>
        <w:jc w:val="both"/>
        <w:rPr>
          <w:snapToGrid w:val="0"/>
        </w:rPr>
      </w:pPr>
      <w:r w:rsidRPr="00C6362F">
        <w:rPr>
          <w:snapToGrid w:val="0"/>
        </w:rPr>
        <w:t xml:space="preserve">Генеральный Директор </w:t>
      </w:r>
    </w:p>
    <w:p w:rsidR="00595324" w:rsidRPr="00C438A4" w:rsidRDefault="00C6362F" w:rsidP="00C6362F">
      <w:pPr>
        <w:widowControl w:val="0"/>
        <w:ind w:left="176" w:right="-7"/>
        <w:jc w:val="both"/>
        <w:rPr>
          <w:sz w:val="20"/>
          <w:szCs w:val="20"/>
        </w:rPr>
      </w:pPr>
      <w:r w:rsidRPr="00C6362F">
        <w:rPr>
          <w:snapToGrid w:val="0"/>
        </w:rPr>
        <w:t>Бердюгин Алексей Николаевич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71A08"/>
    <w:rsid w:val="000A4996"/>
    <w:rsid w:val="00111DCB"/>
    <w:rsid w:val="00136E90"/>
    <w:rsid w:val="0014041A"/>
    <w:rsid w:val="001F604F"/>
    <w:rsid w:val="002118DF"/>
    <w:rsid w:val="00247EEE"/>
    <w:rsid w:val="00251BA0"/>
    <w:rsid w:val="003837CC"/>
    <w:rsid w:val="003D20EE"/>
    <w:rsid w:val="00431DBF"/>
    <w:rsid w:val="004B6DF9"/>
    <w:rsid w:val="00503579"/>
    <w:rsid w:val="005761F9"/>
    <w:rsid w:val="00595324"/>
    <w:rsid w:val="005C15E1"/>
    <w:rsid w:val="00607523"/>
    <w:rsid w:val="006C15F0"/>
    <w:rsid w:val="006F327C"/>
    <w:rsid w:val="00720032"/>
    <w:rsid w:val="00766A15"/>
    <w:rsid w:val="0077657B"/>
    <w:rsid w:val="00832A73"/>
    <w:rsid w:val="008635C6"/>
    <w:rsid w:val="0094364F"/>
    <w:rsid w:val="00AE5FE7"/>
    <w:rsid w:val="00B94A63"/>
    <w:rsid w:val="00BD3605"/>
    <w:rsid w:val="00C438A4"/>
    <w:rsid w:val="00C6362F"/>
    <w:rsid w:val="00CA2E8A"/>
    <w:rsid w:val="00CC0BE1"/>
    <w:rsid w:val="00DE232E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2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5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2601</Words>
  <Characters>14830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3</cp:revision>
  <cp:lastPrinted>2019-11-11T14:42:00Z</cp:lastPrinted>
  <dcterms:created xsi:type="dcterms:W3CDTF">2023-08-08T08:42:00Z</dcterms:created>
  <dcterms:modified xsi:type="dcterms:W3CDTF">2023-08-08T08:44:00Z</dcterms:modified>
</cp:coreProperties>
</file>